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B6" w:rsidRDefault="003619B6" w:rsidP="003619B6">
      <w:pPr>
        <w:pStyle w:val="NormaleWeb"/>
        <w:jc w:val="center"/>
      </w:pPr>
      <w:r>
        <w:rPr>
          <w:rStyle w:val="Enfasigrassetto"/>
          <w:i/>
          <w:iCs/>
        </w:rPr>
        <w:t>Ultime novità su quota 100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e altre disposizioni pensionistiche</w:t>
      </w:r>
    </w:p>
    <w:p w:rsidR="003619B6" w:rsidRDefault="003619B6" w:rsidP="003619B6">
      <w:pPr>
        <w:pStyle w:val="NormaleWeb"/>
      </w:pPr>
      <w:r>
        <w:t xml:space="preserve">Il 28 gennaio è stato pubblicato in Gazzetta Ufficiale il </w:t>
      </w:r>
      <w:hyperlink r:id="rId4" w:tgtFrame="_blank" w:history="1">
        <w:r>
          <w:rPr>
            <w:rStyle w:val="Collegamentoipertestuale"/>
          </w:rPr>
          <w:t>Decreto Legge 4/19</w:t>
        </w:r>
      </w:hyperlink>
      <w:r>
        <w:t xml:space="preserve"> che affronta tra l’altro il trattamento di pensione anticipata con la </w:t>
      </w:r>
      <w:r>
        <w:rPr>
          <w:rStyle w:val="Enfasigrassetto"/>
        </w:rPr>
        <w:t>quota 100</w:t>
      </w:r>
      <w:r>
        <w:t>.</w:t>
      </w:r>
    </w:p>
    <w:p w:rsidR="003619B6" w:rsidRDefault="003619B6" w:rsidP="003619B6">
      <w:pPr>
        <w:pStyle w:val="NormaleWeb"/>
      </w:pPr>
      <w:r>
        <w:t xml:space="preserve">Nella </w:t>
      </w:r>
      <w:hyperlink r:id="rId5" w:tgtFrame="_blank" w:history="1">
        <w:r>
          <w:rPr>
            <w:rStyle w:val="Collegamentoipertestuale"/>
          </w:rPr>
          <w:t>scheda</w:t>
        </w:r>
      </w:hyperlink>
      <w:r>
        <w:t xml:space="preserve"> sono riassunti i </w:t>
      </w:r>
      <w:r>
        <w:rPr>
          <w:rStyle w:val="Enfasigrassetto"/>
        </w:rPr>
        <w:t xml:space="preserve">provvedimenti di natura previdenziale </w:t>
      </w:r>
      <w:r>
        <w:t>che insieme alla quota 100 sono introdotti dal decreto e che sono validi per tutti i settori pubblici e privati del comparto della conoscenza.</w:t>
      </w:r>
    </w:p>
    <w:p w:rsidR="003619B6" w:rsidRDefault="003619B6" w:rsidP="003619B6">
      <w:pPr>
        <w:pStyle w:val="NormaleWeb"/>
      </w:pPr>
      <w:r>
        <w:t xml:space="preserve">In una </w:t>
      </w:r>
      <w:hyperlink r:id="rId6" w:tgtFrame="_blank" w:history="1">
        <w:r>
          <w:rPr>
            <w:rStyle w:val="Collegamentoipertestuale"/>
          </w:rPr>
          <w:t>tabella</w:t>
        </w:r>
      </w:hyperlink>
      <w:r>
        <w:t xml:space="preserve"> sintetica i </w:t>
      </w:r>
      <w:r>
        <w:rPr>
          <w:rStyle w:val="Enfasigrassetto"/>
        </w:rPr>
        <w:t>requisiti</w:t>
      </w:r>
      <w:r>
        <w:t xml:space="preserve"> per accedere a </w:t>
      </w:r>
      <w:r>
        <w:rPr>
          <w:rStyle w:val="Enfasigrassetto"/>
        </w:rPr>
        <w:t>quota 100</w:t>
      </w:r>
      <w:r>
        <w:t xml:space="preserve">, </w:t>
      </w:r>
      <w:r>
        <w:rPr>
          <w:rStyle w:val="Enfasigrassetto"/>
        </w:rPr>
        <w:t>opzione donna</w:t>
      </w:r>
      <w:r>
        <w:t xml:space="preserve">, </w:t>
      </w:r>
      <w:r>
        <w:rPr>
          <w:rStyle w:val="Enfasigrassetto"/>
        </w:rPr>
        <w:t>APE sociale</w:t>
      </w:r>
      <w:r>
        <w:t xml:space="preserve"> e </w:t>
      </w:r>
      <w:r>
        <w:rPr>
          <w:rStyle w:val="Enfasigrassetto"/>
        </w:rPr>
        <w:t>riduzione anzianità contributiva per pensione anticipata</w:t>
      </w:r>
      <w:r>
        <w:t>.</w:t>
      </w:r>
    </w:p>
    <w:p w:rsidR="003619B6" w:rsidRDefault="003619B6" w:rsidP="003619B6">
      <w:pPr>
        <w:pStyle w:val="NormaleWeb"/>
      </w:pPr>
      <w:r>
        <w:t>Nel decreto è presente il riferimento alla</w:t>
      </w:r>
      <w:r>
        <w:rPr>
          <w:rStyle w:val="Enfasigrassetto"/>
        </w:rPr>
        <w:t xml:space="preserve"> legislazione specifica della scuola e dell’AFAM</w:t>
      </w:r>
      <w:r>
        <w:t xml:space="preserve">, pertanto stiamo sollecitando il MIUR perché convochi al più presto le organizzazioni sindacali per concordare la </w:t>
      </w:r>
      <w:r>
        <w:rPr>
          <w:rStyle w:val="Enfasigrassetto"/>
        </w:rPr>
        <w:t>circolare</w:t>
      </w:r>
      <w:r>
        <w:t xml:space="preserve"> che autorizzerà le </w:t>
      </w:r>
      <w:r>
        <w:rPr>
          <w:rStyle w:val="Enfasigrassetto"/>
        </w:rPr>
        <w:t>dimissioni dal servizio</w:t>
      </w:r>
      <w:r>
        <w:t xml:space="preserve"> del personale interessato, operazione propedeutica alle pratiche di accesso all’assegno pensionistico.</w:t>
      </w:r>
      <w:r>
        <w:br/>
      </w:r>
      <w:r>
        <w:rPr>
          <w:rStyle w:val="Enfasigrassetto"/>
        </w:rPr>
        <w:t>La data fissata per la scadenza dei termini per la presentazione delle domande è il 28 febbraio 2019</w:t>
      </w:r>
      <w:r>
        <w:t>.</w:t>
      </w:r>
    </w:p>
    <w:p w:rsidR="003619B6" w:rsidRDefault="003619B6" w:rsidP="003619B6">
      <w:pPr>
        <w:pStyle w:val="NormaleWeb"/>
      </w:pPr>
      <w:r>
        <w:t>La complessità della materia, l’introduzione delle finestre per i settori che non le avevano, l’accertamento dei nuovi requisiti, l’inoltro in tempi brevi delle pratiche rendono necessaria l’</w:t>
      </w:r>
      <w:r>
        <w:rPr>
          <w:rStyle w:val="Enfasigrassetto"/>
        </w:rPr>
        <w:t>assistenza</w:t>
      </w:r>
      <w:r>
        <w:t xml:space="preserve"> presso le </w:t>
      </w:r>
      <w:hyperlink r:id="rId7" w:tgtFrame="_blank" w:history="1">
        <w:r>
          <w:rPr>
            <w:rStyle w:val="Collegamentoipertestuale"/>
          </w:rPr>
          <w:t>sedi territoriali della FLC CGIL</w:t>
        </w:r>
      </w:hyperlink>
      <w:r>
        <w:t xml:space="preserve"> e del </w:t>
      </w:r>
      <w:hyperlink r:id="rId8" w:tgtFrame="_blank" w:history="1">
        <w:r>
          <w:rPr>
            <w:rStyle w:val="Collegamentoipertestuale"/>
          </w:rPr>
          <w:t>patronato INCA CGIL</w:t>
        </w:r>
      </w:hyperlink>
      <w:r>
        <w:t xml:space="preserve"> per l’</w:t>
      </w:r>
      <w:r>
        <w:rPr>
          <w:rStyle w:val="Enfasigrassetto"/>
        </w:rPr>
        <w:t>accertamento dei requisiti</w:t>
      </w:r>
      <w:r>
        <w:t xml:space="preserve"> e per l’eventuale </w:t>
      </w:r>
      <w:r>
        <w:rPr>
          <w:rStyle w:val="Enfasigrassetto"/>
        </w:rPr>
        <w:t>inoltro delle pratiche all’INPS</w:t>
      </w:r>
      <w:r>
        <w:t>.</w:t>
      </w:r>
    </w:p>
    <w:p w:rsidR="003619B6" w:rsidRDefault="003619B6" w:rsidP="003619B6">
      <w:pPr>
        <w:pStyle w:val="NormaleWeb"/>
      </w:pPr>
      <w:hyperlink r:id="rId9" w:history="1">
        <w:r>
          <w:rPr>
            <w:rStyle w:val="Collegamentoipertestuale"/>
          </w:rPr>
          <w:t>Il nostro commento</w:t>
        </w:r>
      </w:hyperlink>
    </w:p>
    <w:p w:rsidR="003619B6" w:rsidRDefault="003619B6" w:rsidP="003619B6">
      <w:pPr>
        <w:pStyle w:val="NormaleWeb"/>
      </w:pPr>
      <w:r>
        <w:t>Cordialmente</w:t>
      </w:r>
      <w:r>
        <w:br/>
        <w:t>FLC CGIL nazionale</w:t>
      </w:r>
    </w:p>
    <w:p w:rsidR="00526F47" w:rsidRDefault="00526F47">
      <w:bookmarkStart w:id="0" w:name="_GoBack"/>
      <w:bookmarkEnd w:id="0"/>
    </w:p>
    <w:sectPr w:rsidR="00526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B6"/>
    <w:rsid w:val="003619B6"/>
    <w:rsid w:val="0052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2F7DD-0D83-44C2-82D8-38CB9314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19B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61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1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a.it/DoveSiamo/Italia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cgil.it/sindacato/dove-siam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cgil.it/sindacato/documenti/approfondimenti/tabella-flc-cgil-requisiti-quota-100-altre-disposizioni-pensionistiche.fl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cgil.it/sindacato/documenti/approfondimenti/scheda-flc-cgil-quota100-e-altri-provvedimenti-pensionistici.fl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lcgil.it/leggi-normative/documenti/decreti-legge/decreto-legge-4-del-28-gennaio-2019-disposizioni-urgenti-in-materia-di-reddito-di-cittadinanza-e-di-pensioni.flc" TargetMode="External"/><Relationship Id="rId9" Type="http://schemas.openxmlformats.org/officeDocument/2006/relationships/hyperlink" Target="http://www.flcgil.it/attualita/previdenza/pensione-con-quota-100-un-provvedimento-atteso-ma-che-non-modifica-la-legge-fornero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2019-02-01T12:13:00Z</dcterms:created>
  <dcterms:modified xsi:type="dcterms:W3CDTF">2019-02-01T12:14:00Z</dcterms:modified>
</cp:coreProperties>
</file>